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68F19" w14:textId="77777777" w:rsidR="00332216" w:rsidRPr="0048452A" w:rsidRDefault="00356FAD" w:rsidP="003C1F3F">
      <w:pPr>
        <w:spacing w:line="360" w:lineRule="auto"/>
        <w:jc w:val="center"/>
        <w:rPr>
          <w:rFonts w:ascii="FZXiaoBiaoSong-B05S" w:eastAsia="FZXiaoBiaoSong-B05S" w:hAnsi="FZXiaoBiaoSong-B05S"/>
          <w:sz w:val="32"/>
          <w:szCs w:val="24"/>
        </w:rPr>
      </w:pPr>
      <w:r w:rsidRPr="0048452A">
        <w:rPr>
          <w:rFonts w:ascii="FZXiaoBiaoSong-B05S" w:eastAsia="FZXiaoBiaoSong-B05S" w:hAnsi="FZXiaoBiaoSong-B05S" w:hint="eastAsia"/>
          <w:sz w:val="32"/>
          <w:szCs w:val="24"/>
        </w:rPr>
        <w:t>西北工业大学数学与统计学院2020</w:t>
      </w:r>
      <w:r w:rsidR="00332216" w:rsidRPr="0048452A">
        <w:rPr>
          <w:rFonts w:ascii="FZXiaoBiaoSong-B05S" w:eastAsia="FZXiaoBiaoSong-B05S" w:hAnsi="FZXiaoBiaoSong-B05S" w:hint="eastAsia"/>
          <w:sz w:val="32"/>
          <w:szCs w:val="24"/>
        </w:rPr>
        <w:t>年暑期学校招生简章</w:t>
      </w:r>
    </w:p>
    <w:p w14:paraId="3E2CA147" w14:textId="77777777" w:rsidR="003C1F3F" w:rsidRPr="0048452A" w:rsidRDefault="003C1F3F" w:rsidP="003C1F3F">
      <w:pPr>
        <w:spacing w:line="360" w:lineRule="auto"/>
        <w:jc w:val="center"/>
        <w:rPr>
          <w:rFonts w:ascii="FZXiaoBiaoSong-B05S" w:eastAsia="FZXiaoBiaoSong-B05S" w:hAnsi="FZXiaoBiaoSong-B05S"/>
          <w:sz w:val="32"/>
          <w:szCs w:val="24"/>
        </w:rPr>
      </w:pPr>
    </w:p>
    <w:p w14:paraId="509AFFB5" w14:textId="77777777" w:rsidR="00EF64E1" w:rsidRPr="0048452A" w:rsidRDefault="00744041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西北工业大学</w:t>
      </w: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，位于古都西安，直属中华人民共和国工业和信息化部，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是一所以发展航空、航天、航海（三航）等领域人才培养和科学研究为特色的多科性、研究型、开放式大学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。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 xml:space="preserve">新中国成立以来，西工大一直是国家重点建设的高校， </w:t>
      </w: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1995年首批进入“211工程”，2001年进入“985工程”，2017年进入国家“一流大学”建设高校（A类）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。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学校秉承“公诚勇毅”校训，弘扬“三实一新”校风，扎根西部、献身国防，历史上书写了新中国多个“第一”，今天在创建一流大学和一流学科上续写新的辉煌。</w:t>
      </w:r>
    </w:p>
    <w:p w14:paraId="5133E98C" w14:textId="3F739800" w:rsidR="003C1F3F" w:rsidRPr="0048452A" w:rsidRDefault="0086302A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数学与统计学院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前身是1957年创建的数学力学系，1987年调整为应用数学系，2003年与应用物理系、化学工程系合并成立理学院，2019年成立数学与统计学院。学院聚焦数学、统计学及其应用中的前沿科学问题，开展高水平科学研究与高层次的人才培养。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经过六十余年的发展与沉淀，坚持“科学问题导向，应用问题驱动”，形成了整体科研实力强、应用特色鲜明、教学科研梯队完整的学科体系。经过多年人才培养的探索与实践，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以航空、航天、航海领域为背景，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以培养创新型数学拔尖人才为目标，坚持全面推进素质教育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和正确的价值观塑造，为国家培养了大量高级专业人才。</w:t>
      </w:r>
    </w:p>
    <w:p w14:paraId="4F938802" w14:textId="6D1507A2" w:rsidR="00575B36" w:rsidRPr="0048452A" w:rsidRDefault="00C42BAD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为加强西北工业大学数学与统计</w:t>
      </w:r>
      <w:r w:rsidR="0033221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学院与国内其他高水平大学的交流和联系，促进全国优秀大学生之间的学术交流与互动，使更多的学生能够进一步</w:t>
      </w:r>
      <w:r w:rsidR="00744041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认识并了解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西北工业大学数学与统计</w:t>
      </w:r>
      <w:r w:rsidR="0033221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学院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，同时为学院选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拔优秀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学生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继续深造</w:t>
      </w:r>
      <w:r w:rsidR="0033221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。学院将于2</w:t>
      </w:r>
      <w:r w:rsidR="00356FAD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0</w:t>
      </w:r>
      <w:r w:rsidR="00356FAD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20</w:t>
      </w:r>
      <w:r w:rsidR="0033221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年7月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4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日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-</w:t>
      </w:r>
      <w:r w:rsidR="00797CB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5</w:t>
      </w:r>
      <w:r w:rsidR="0033221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日举办全国优秀大学生暑期夏令营活动，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期间</w:t>
      </w:r>
      <w:r w:rsidR="00797CB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将安排营员</w:t>
      </w:r>
      <w:r w:rsidR="0033221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聆听</w:t>
      </w:r>
      <w:r w:rsidR="00954E9C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前沿</w:t>
      </w:r>
      <w:r w:rsidR="00797CB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学术</w:t>
      </w:r>
      <w:r w:rsidR="0033221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讲座</w:t>
      </w:r>
      <w:r w:rsidR="00797CB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，了解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学科方向</w:t>
      </w:r>
      <w:r w:rsidR="00797CB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及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科研</w:t>
      </w:r>
      <w:r w:rsidR="00797CB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团队，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与研究生导师近距离交流</w:t>
      </w:r>
      <w:r w:rsidR="00797CB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并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进行营员综合</w:t>
      </w:r>
      <w:r w:rsidR="00797CB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能力考核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。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在夏令营期间表现优秀者将被数学与统计</w:t>
      </w:r>
      <w:r w:rsidR="00744041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学院</w:t>
      </w:r>
      <w:r w:rsidR="005F3075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认定</w:t>
      </w:r>
      <w:r w:rsidR="00744041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为优秀营员。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同期，学院还将组织拟推免至我院的考生进行推免生第一批次复试。</w:t>
      </w:r>
      <w:r w:rsidR="00954E9C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欢迎各大高校学生踊跃报名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。</w:t>
      </w:r>
    </w:p>
    <w:tbl>
      <w:tblPr>
        <w:tblW w:w="722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238"/>
        <w:gridCol w:w="3058"/>
      </w:tblGrid>
      <w:tr w:rsidR="0048452A" w:rsidRPr="0048452A" w14:paraId="0538FEDB" w14:textId="77777777" w:rsidTr="00575B36">
        <w:trPr>
          <w:trHeight w:val="33"/>
        </w:trPr>
        <w:tc>
          <w:tcPr>
            <w:tcW w:w="1933" w:type="dxa"/>
            <w:vMerge w:val="restart"/>
            <w:vAlign w:val="center"/>
          </w:tcPr>
          <w:p w14:paraId="69D5A0FF" w14:textId="77777777" w:rsidR="003C1F3F" w:rsidRPr="0048452A" w:rsidRDefault="003C1F3F" w:rsidP="003C1F3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数学与统计学院</w:t>
            </w:r>
          </w:p>
          <w:p w14:paraId="438E4289" w14:textId="77777777" w:rsidR="003C1F3F" w:rsidRPr="0048452A" w:rsidRDefault="003C1F3F" w:rsidP="003C1F3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招生专业</w:t>
            </w:r>
          </w:p>
        </w:tc>
        <w:tc>
          <w:tcPr>
            <w:tcW w:w="2238" w:type="dxa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439B4AD3" w14:textId="77777777" w:rsidR="003C1F3F" w:rsidRPr="0048452A" w:rsidRDefault="003C1F3F" w:rsidP="003C1F3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202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应用经济学</w:t>
            </w:r>
          </w:p>
        </w:tc>
        <w:tc>
          <w:tcPr>
            <w:tcW w:w="3058" w:type="dxa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37925E50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20208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统计学</w:t>
            </w:r>
          </w:p>
        </w:tc>
      </w:tr>
      <w:tr w:rsidR="0048452A" w:rsidRPr="0048452A" w14:paraId="6182F051" w14:textId="77777777" w:rsidTr="00575B36">
        <w:trPr>
          <w:trHeight w:val="33"/>
        </w:trPr>
        <w:tc>
          <w:tcPr>
            <w:tcW w:w="1933" w:type="dxa"/>
            <w:vMerge/>
            <w:vAlign w:val="center"/>
          </w:tcPr>
          <w:p w14:paraId="7695B839" w14:textId="77777777" w:rsidR="003C1F3F" w:rsidRPr="0048452A" w:rsidRDefault="003C1F3F" w:rsidP="003C1F3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bookmarkStart w:id="0" w:name="OLE_LINK1"/>
            <w:bookmarkStart w:id="1" w:name="OLE_LINK2"/>
          </w:p>
        </w:tc>
        <w:tc>
          <w:tcPr>
            <w:tcW w:w="2238" w:type="dxa"/>
            <w:vMerge w:val="restart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68C96A66" w14:textId="77777777" w:rsidR="003C1F3F" w:rsidRPr="0048452A" w:rsidRDefault="003C1F3F" w:rsidP="003C1F3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0701  数学</w:t>
            </w:r>
          </w:p>
          <w:p w14:paraId="1203C976" w14:textId="77777777" w:rsidR="003C1F3F" w:rsidRPr="0048452A" w:rsidRDefault="003C1F3F" w:rsidP="003C1F3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（一级学科博士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lastRenderedPageBreak/>
              <w:t>点）</w:t>
            </w:r>
          </w:p>
        </w:tc>
        <w:tc>
          <w:tcPr>
            <w:tcW w:w="3058" w:type="dxa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365477C1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lastRenderedPageBreak/>
              <w:t>070101基础数学</w:t>
            </w:r>
          </w:p>
        </w:tc>
      </w:tr>
      <w:tr w:rsidR="0048452A" w:rsidRPr="0048452A" w14:paraId="2AB25DEE" w14:textId="77777777" w:rsidTr="00575B36">
        <w:trPr>
          <w:trHeight w:val="33"/>
        </w:trPr>
        <w:tc>
          <w:tcPr>
            <w:tcW w:w="1933" w:type="dxa"/>
            <w:vMerge/>
            <w:vAlign w:val="center"/>
          </w:tcPr>
          <w:p w14:paraId="774A3F05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  <w:vMerge/>
            <w:vAlign w:val="center"/>
          </w:tcPr>
          <w:p w14:paraId="76609CB9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58" w:type="dxa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7369536C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070102计算数学</w:t>
            </w:r>
          </w:p>
        </w:tc>
      </w:tr>
      <w:tr w:rsidR="0048452A" w:rsidRPr="0048452A" w14:paraId="5CD4613C" w14:textId="77777777" w:rsidTr="00575B36">
        <w:trPr>
          <w:trHeight w:val="33"/>
        </w:trPr>
        <w:tc>
          <w:tcPr>
            <w:tcW w:w="1933" w:type="dxa"/>
            <w:vMerge/>
            <w:vAlign w:val="center"/>
          </w:tcPr>
          <w:p w14:paraId="17CA4B81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  <w:vMerge/>
            <w:vAlign w:val="center"/>
          </w:tcPr>
          <w:p w14:paraId="46BF57C0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58" w:type="dxa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359629F5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070103概率论与数理统计</w:t>
            </w:r>
          </w:p>
        </w:tc>
      </w:tr>
      <w:tr w:rsidR="0048452A" w:rsidRPr="0048452A" w14:paraId="2D6B1192" w14:textId="77777777" w:rsidTr="00575B36">
        <w:trPr>
          <w:trHeight w:val="33"/>
        </w:trPr>
        <w:tc>
          <w:tcPr>
            <w:tcW w:w="1933" w:type="dxa"/>
            <w:vMerge/>
            <w:vAlign w:val="center"/>
          </w:tcPr>
          <w:p w14:paraId="5AA334B4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  <w:vMerge/>
            <w:vAlign w:val="center"/>
          </w:tcPr>
          <w:p w14:paraId="4229CB89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58" w:type="dxa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5872210F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070104应用数学</w:t>
            </w:r>
          </w:p>
        </w:tc>
      </w:tr>
      <w:tr w:rsidR="0048452A" w:rsidRPr="0048452A" w14:paraId="076A06AF" w14:textId="77777777" w:rsidTr="00575B36">
        <w:trPr>
          <w:trHeight w:val="33"/>
        </w:trPr>
        <w:tc>
          <w:tcPr>
            <w:tcW w:w="1933" w:type="dxa"/>
            <w:vMerge/>
            <w:vAlign w:val="center"/>
          </w:tcPr>
          <w:p w14:paraId="7F8DCEB3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  <w:vMerge/>
            <w:vAlign w:val="center"/>
          </w:tcPr>
          <w:p w14:paraId="7E3F9FDC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58" w:type="dxa"/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69E4BE6B" w14:textId="77777777" w:rsidR="003C1F3F" w:rsidRPr="0048452A" w:rsidRDefault="003C1F3F" w:rsidP="003C1F3F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070105运筹学与控制论</w:t>
            </w:r>
          </w:p>
        </w:tc>
      </w:tr>
    </w:tbl>
    <w:bookmarkEnd w:id="0"/>
    <w:bookmarkEnd w:id="1"/>
    <w:p w14:paraId="098F2C10" w14:textId="77777777" w:rsidR="005503BC" w:rsidRPr="0048452A" w:rsidRDefault="00EF63EF" w:rsidP="00613545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具体以研究生院招生办2</w:t>
      </w:r>
      <w:r w:rsidR="00356FAD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0</w:t>
      </w:r>
      <w:r w:rsidR="00356FAD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20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年发布的招生目录为准。</w:t>
      </w:r>
    </w:p>
    <w:p w14:paraId="549A1609" w14:textId="77777777" w:rsidR="00332216" w:rsidRPr="0048452A" w:rsidRDefault="00782A06" w:rsidP="003C1F3F">
      <w:pPr>
        <w:spacing w:line="360" w:lineRule="auto"/>
        <w:rPr>
          <w:rFonts w:ascii="仿宋_GB2312" w:eastAsia="仿宋_GB2312" w:hAnsi="仿宋_GB2312"/>
          <w:b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b/>
          <w:sz w:val="24"/>
          <w:szCs w:val="24"/>
          <w:shd w:val="clear" w:color="auto" w:fill="FFFFFF"/>
        </w:rPr>
        <w:t>一、申请要求</w:t>
      </w:r>
    </w:p>
    <w:p w14:paraId="364C4843" w14:textId="77777777" w:rsidR="00F94D69" w:rsidRPr="0048452A" w:rsidRDefault="00782A06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（一）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招生对象</w:t>
      </w:r>
    </w:p>
    <w:p w14:paraId="277D08E2" w14:textId="77777777" w:rsidR="00332216" w:rsidRPr="0048452A" w:rsidRDefault="00782A06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“双一流”院校或所学专业在全国学科评估中排名</w:t>
      </w: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A类的三年级在校本科生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（20</w:t>
      </w:r>
      <w:r w:rsidR="00356FAD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2</w:t>
      </w:r>
      <w:r w:rsidR="00356FAD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1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届本科毕业生）</w:t>
      </w:r>
      <w:r w:rsidR="00F94D69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。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或其他院校拟推免至我院的三年级在校本科生（同时报名，单独考核）。</w:t>
      </w:r>
    </w:p>
    <w:p w14:paraId="02CA9814" w14:textId="77777777" w:rsidR="00F94D69" w:rsidRPr="0048452A" w:rsidRDefault="00782A06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（二）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学生要求</w:t>
      </w:r>
    </w:p>
    <w:p w14:paraId="3138DFCE" w14:textId="77777777" w:rsidR="00332216" w:rsidRPr="0048452A" w:rsidRDefault="00332216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学习成绩优秀；综合表现优异（如在校期间获得科技活动、学科竞赛相关奖项或在重要期刊发表学术论文等优先）；英语四级≥425分</w:t>
      </w:r>
      <w:r w:rsidR="00782A0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或其他英语考试（如雅思、托福、G</w:t>
      </w:r>
      <w:r w:rsidR="00782A0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RE</w:t>
      </w:r>
      <w:r w:rsidR="00782A0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等）成绩优秀</w:t>
      </w: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；有志于从事学术研究，有较强科研能力，并有意愿继续深造。</w:t>
      </w:r>
    </w:p>
    <w:p w14:paraId="6DEE9F94" w14:textId="77777777" w:rsidR="00782A06" w:rsidRPr="0048452A" w:rsidRDefault="00782A06" w:rsidP="003C1F3F">
      <w:pPr>
        <w:spacing w:line="360" w:lineRule="auto"/>
        <w:rPr>
          <w:rFonts w:ascii="仿宋_GB2312" w:eastAsia="仿宋_GB2312" w:hAnsi="仿宋_GB2312"/>
          <w:b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b/>
          <w:sz w:val="24"/>
          <w:szCs w:val="24"/>
          <w:shd w:val="clear" w:color="auto" w:fill="FFFFFF"/>
        </w:rPr>
        <w:t>二、报名流程</w:t>
      </w:r>
    </w:p>
    <w:p w14:paraId="766CD504" w14:textId="77777777" w:rsidR="00782A06" w:rsidRPr="0048452A" w:rsidRDefault="00782A06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（一）报名时间：即日起-</w:t>
      </w:r>
      <w:r w:rsidR="00356FAD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2020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年6月2</w:t>
      </w:r>
      <w:r w:rsidR="00356FAD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8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日</w:t>
      </w:r>
    </w:p>
    <w:p w14:paraId="4834FC27" w14:textId="77777777" w:rsidR="00B74ABE" w:rsidRPr="0048452A" w:rsidRDefault="00782A06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（二）报名方式：</w:t>
      </w:r>
    </w:p>
    <w:p w14:paraId="33BA4E31" w14:textId="0BC54830" w:rsidR="001144E1" w:rsidRPr="0048452A" w:rsidRDefault="001144E1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1.登录网址:西北工业大学研究生招生信息网（http://yzb.nwpu.edu.cn/）选择</w:t>
      </w:r>
      <w:hyperlink r:id="rId6" w:tgtFrame="_self" w:history="1">
        <w:r w:rsidRPr="0048452A">
          <w:rPr>
            <w:rFonts w:ascii="仿宋_GB2312" w:eastAsia="仿宋_GB2312" w:hAnsi="仿宋_GB2312" w:hint="eastAsia"/>
            <w:sz w:val="24"/>
            <w:szCs w:val="24"/>
            <w:shd w:val="clear" w:color="auto" w:fill="FFFFFF"/>
          </w:rPr>
          <w:t>暑期夏令营</w:t>
        </w:r>
      </w:hyperlink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，填写报名信息，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并上传所有申报材料的电子版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（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材料扫描或拍照后</w:t>
      </w:r>
      <w:r w:rsidR="00704F89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整合为Win</w:t>
      </w:r>
      <w:r w:rsidR="00704F89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RAR</w:t>
      </w:r>
      <w:r w:rsidR="00704F89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格式，以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“申请人姓名+在读学校及院系+申请专业”</w:t>
      </w:r>
      <w:r w:rsidR="00704F89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命名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，大小不超过1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0M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）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。</w:t>
      </w:r>
    </w:p>
    <w:p w14:paraId="0D568878" w14:textId="77777777" w:rsidR="001144E1" w:rsidRPr="0048452A" w:rsidRDefault="001144E1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2.申请人须提供以下材料：</w:t>
      </w:r>
    </w:p>
    <w:p w14:paraId="4BBE0ED4" w14:textId="77777777" w:rsidR="001144E1" w:rsidRPr="0048452A" w:rsidRDefault="001144E1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1)《西北工业大学2020年全国优秀大学生暑期夏令营申请表》（申请人网上下载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并正反面打印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）；</w:t>
      </w:r>
    </w:p>
    <w:p w14:paraId="554BAD70" w14:textId="77777777" w:rsidR="001144E1" w:rsidRPr="0048452A" w:rsidRDefault="001144E1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2)本科前三年成绩单、综合测评成绩单（加盖学校或院系教务部门公章）；</w:t>
      </w:r>
    </w:p>
    <w:p w14:paraId="53497408" w14:textId="77777777" w:rsidR="001144E1" w:rsidRPr="0048452A" w:rsidRDefault="001144E1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3)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国家英语四、六级考试成绩或体现自身英语水平的证明材料复印件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；</w:t>
      </w:r>
    </w:p>
    <w:p w14:paraId="43F548A6" w14:textId="77777777" w:rsidR="003C1F3F" w:rsidRPr="0048452A" w:rsidRDefault="001144E1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4)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其他证明材料（已发表论文、获奖证书或其它考试证书的复印件）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。</w:t>
      </w:r>
    </w:p>
    <w:p w14:paraId="33F0D7CE" w14:textId="77777777" w:rsidR="001144E1" w:rsidRPr="0048452A" w:rsidRDefault="003C1F3F" w:rsidP="003C1F3F">
      <w:pPr>
        <w:spacing w:line="360" w:lineRule="auto"/>
        <w:ind w:firstLineChars="200" w:firstLine="480"/>
        <w:rPr>
          <w:rFonts w:ascii="仿宋_GB2312" w:eastAsia="仿宋_GB2312" w:hAnsi="仿宋_GB2312"/>
          <w:b/>
          <w:sz w:val="24"/>
          <w:szCs w:val="24"/>
        </w:rPr>
      </w:pP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报名资格的审核和录取工作由学院和研究生院负责。</w:t>
      </w:r>
      <w:r w:rsidR="001144E1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考核结果将在2020年7月公布，录取结果请登录夏令营报名系统申请状态查询。</w:t>
      </w:r>
    </w:p>
    <w:p w14:paraId="3993C8F6" w14:textId="77777777" w:rsidR="00B74ABE" w:rsidRPr="0048452A" w:rsidRDefault="00B74ABE" w:rsidP="003C1F3F">
      <w:pPr>
        <w:spacing w:line="360" w:lineRule="auto"/>
        <w:rPr>
          <w:rFonts w:ascii="仿宋_GB2312" w:eastAsia="仿宋_GB2312" w:hAnsi="仿宋_GB2312"/>
          <w:b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b/>
          <w:sz w:val="24"/>
          <w:szCs w:val="24"/>
          <w:shd w:val="clear" w:color="auto" w:fill="FFFFFF"/>
        </w:rPr>
        <w:lastRenderedPageBreak/>
        <w:t>三、活动安排</w:t>
      </w:r>
    </w:p>
    <w:p w14:paraId="75915803" w14:textId="77777777" w:rsidR="00B74ABE" w:rsidRPr="0048452A" w:rsidRDefault="00B74ABE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b/>
          <w:sz w:val="24"/>
          <w:szCs w:val="24"/>
          <w:shd w:val="clear" w:color="auto" w:fill="FFFFFF"/>
        </w:rPr>
        <w:t>（一）活动时间：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2</w:t>
      </w:r>
      <w:r w:rsidR="00356FAD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0</w:t>
      </w:r>
      <w:r w:rsidR="00356FAD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20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年</w:t>
      </w: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7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月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4</w:t>
      </w:r>
      <w:r w:rsidR="003C1F3F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-</w:t>
      </w:r>
      <w:r w:rsidR="00797CB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5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日</w:t>
      </w:r>
    </w:p>
    <w:p w14:paraId="63EA5257" w14:textId="0A0B06C3" w:rsidR="00B74ABE" w:rsidRPr="0048452A" w:rsidRDefault="00B74ABE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b/>
          <w:sz w:val="24"/>
          <w:szCs w:val="24"/>
          <w:shd w:val="clear" w:color="auto" w:fill="FFFFFF"/>
        </w:rPr>
        <w:t>（二）活动规模：</w:t>
      </w:r>
      <w:r w:rsidR="00AF2E39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8</w:t>
      </w:r>
      <w:r w:rsidR="00356FAD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0</w:t>
      </w: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人左右</w:t>
      </w:r>
    </w:p>
    <w:p w14:paraId="2F65B922" w14:textId="77777777" w:rsidR="00B74ABE" w:rsidRPr="0048452A" w:rsidRDefault="00B74ABE" w:rsidP="003C1F3F">
      <w:pPr>
        <w:spacing w:line="360" w:lineRule="auto"/>
        <w:rPr>
          <w:rFonts w:ascii="仿宋_GB2312" w:eastAsia="仿宋_GB2312" w:hAnsi="仿宋_GB2312"/>
          <w:b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b/>
          <w:sz w:val="24"/>
          <w:szCs w:val="24"/>
          <w:shd w:val="clear" w:color="auto" w:fill="FFFFFF"/>
        </w:rPr>
        <w:t>（三）活动流程</w:t>
      </w:r>
      <w:r w:rsidR="00B34B2B" w:rsidRPr="0048452A">
        <w:rPr>
          <w:rFonts w:ascii="仿宋_GB2312" w:eastAsia="仿宋_GB2312" w:hAnsi="仿宋_GB2312" w:hint="eastAsia"/>
          <w:b/>
          <w:sz w:val="24"/>
          <w:szCs w:val="24"/>
          <w:shd w:val="clear" w:color="auto" w:fill="FFFFFF"/>
        </w:rPr>
        <w:t>：</w:t>
      </w:r>
    </w:p>
    <w:tbl>
      <w:tblPr>
        <w:tblW w:w="84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1812"/>
        <w:gridCol w:w="3625"/>
      </w:tblGrid>
      <w:tr w:rsidR="0048452A" w:rsidRPr="0048452A" w14:paraId="4BF34EB6" w14:textId="77777777" w:rsidTr="003C1F3F">
        <w:trPr>
          <w:trHeight w:val="90"/>
        </w:trPr>
        <w:tc>
          <w:tcPr>
            <w:tcW w:w="1129" w:type="dxa"/>
          </w:tcPr>
          <w:p w14:paraId="6C7C2BE9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AD6C53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02218E8A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3625" w:type="dxa"/>
            <w:shd w:val="clear" w:color="auto" w:fill="auto"/>
            <w:noWrap/>
            <w:vAlign w:val="center"/>
            <w:hideMark/>
          </w:tcPr>
          <w:p w14:paraId="5C65E447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项目</w:t>
            </w:r>
          </w:p>
        </w:tc>
      </w:tr>
      <w:tr w:rsidR="0048452A" w:rsidRPr="0048452A" w14:paraId="66FB94E9" w14:textId="77777777" w:rsidTr="003C1F3F">
        <w:trPr>
          <w:trHeight w:val="90"/>
        </w:trPr>
        <w:tc>
          <w:tcPr>
            <w:tcW w:w="1129" w:type="dxa"/>
            <w:vMerge w:val="restart"/>
            <w:vAlign w:val="center"/>
          </w:tcPr>
          <w:p w14:paraId="501F8192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7月4日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BA95A1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9: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0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0-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9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: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3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12" w:type="dxa"/>
            <w:vMerge w:val="restart"/>
            <w:shd w:val="clear" w:color="auto" w:fill="auto"/>
            <w:noWrap/>
            <w:vAlign w:val="center"/>
            <w:hideMark/>
          </w:tcPr>
          <w:p w14:paraId="080B284B" w14:textId="77777777" w:rsidR="003C1F3F" w:rsidRPr="0048452A" w:rsidRDefault="003C1F3F" w:rsidP="003C1F3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线上平台</w:t>
            </w:r>
          </w:p>
        </w:tc>
        <w:tc>
          <w:tcPr>
            <w:tcW w:w="3625" w:type="dxa"/>
            <w:shd w:val="clear" w:color="auto" w:fill="auto"/>
            <w:noWrap/>
            <w:vAlign w:val="center"/>
            <w:hideMark/>
          </w:tcPr>
          <w:p w14:paraId="2F1580D1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学员打卡报到，截图合影</w:t>
            </w:r>
          </w:p>
        </w:tc>
      </w:tr>
      <w:tr w:rsidR="0048452A" w:rsidRPr="0048452A" w14:paraId="47E032FE" w14:textId="77777777" w:rsidTr="003C1F3F">
        <w:trPr>
          <w:trHeight w:val="90"/>
        </w:trPr>
        <w:tc>
          <w:tcPr>
            <w:tcW w:w="1129" w:type="dxa"/>
            <w:vMerge/>
            <w:vAlign w:val="center"/>
          </w:tcPr>
          <w:p w14:paraId="5C8C9751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95F51D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9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: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3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0-10: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0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12" w:type="dxa"/>
            <w:vMerge/>
            <w:shd w:val="clear" w:color="auto" w:fill="auto"/>
            <w:noWrap/>
            <w:vAlign w:val="center"/>
            <w:hideMark/>
          </w:tcPr>
          <w:p w14:paraId="4BE92896" w14:textId="77777777" w:rsidR="003C1F3F" w:rsidRPr="0048452A" w:rsidRDefault="003C1F3F" w:rsidP="003C1F3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5" w:type="dxa"/>
            <w:shd w:val="clear" w:color="auto" w:fill="auto"/>
            <w:noWrap/>
            <w:vAlign w:val="center"/>
            <w:hideMark/>
          </w:tcPr>
          <w:p w14:paraId="4AC6CE2B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开班典礼</w:t>
            </w:r>
          </w:p>
        </w:tc>
      </w:tr>
      <w:tr w:rsidR="0048452A" w:rsidRPr="0048452A" w14:paraId="50612965" w14:textId="77777777" w:rsidTr="003C1F3F">
        <w:trPr>
          <w:trHeight w:val="147"/>
        </w:trPr>
        <w:tc>
          <w:tcPr>
            <w:tcW w:w="1129" w:type="dxa"/>
            <w:vMerge/>
            <w:vAlign w:val="center"/>
          </w:tcPr>
          <w:p w14:paraId="7F111F46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E9BAF0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10: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0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0-1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0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: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2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12" w:type="dxa"/>
            <w:vMerge/>
            <w:shd w:val="clear" w:color="auto" w:fill="auto"/>
            <w:noWrap/>
            <w:vAlign w:val="center"/>
            <w:hideMark/>
          </w:tcPr>
          <w:p w14:paraId="77B5626D" w14:textId="77777777" w:rsidR="003C1F3F" w:rsidRPr="0048452A" w:rsidRDefault="003C1F3F" w:rsidP="003C1F3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5" w:type="dxa"/>
            <w:shd w:val="clear" w:color="auto" w:fill="auto"/>
            <w:noWrap/>
            <w:vAlign w:val="center"/>
            <w:hideMark/>
          </w:tcPr>
          <w:p w14:paraId="048DD641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学院介绍</w:t>
            </w:r>
          </w:p>
        </w:tc>
      </w:tr>
      <w:tr w:rsidR="0048452A" w:rsidRPr="0048452A" w14:paraId="002F946A" w14:textId="77777777" w:rsidTr="003C1F3F">
        <w:trPr>
          <w:trHeight w:val="90"/>
        </w:trPr>
        <w:tc>
          <w:tcPr>
            <w:tcW w:w="1129" w:type="dxa"/>
            <w:vMerge/>
            <w:vAlign w:val="center"/>
          </w:tcPr>
          <w:p w14:paraId="3A7DE0DB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28113F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0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: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2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0-12:00</w:t>
            </w:r>
          </w:p>
        </w:tc>
        <w:tc>
          <w:tcPr>
            <w:tcW w:w="1812" w:type="dxa"/>
            <w:vMerge/>
            <w:shd w:val="clear" w:color="auto" w:fill="auto"/>
            <w:noWrap/>
            <w:vAlign w:val="center"/>
            <w:hideMark/>
          </w:tcPr>
          <w:p w14:paraId="3E2A4FA4" w14:textId="77777777" w:rsidR="003C1F3F" w:rsidRPr="0048452A" w:rsidRDefault="003C1F3F" w:rsidP="003C1F3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5" w:type="dxa"/>
            <w:shd w:val="clear" w:color="auto" w:fill="auto"/>
            <w:noWrap/>
            <w:vAlign w:val="center"/>
            <w:hideMark/>
          </w:tcPr>
          <w:p w14:paraId="783E116E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前沿学术讲座及团队介绍</w:t>
            </w:r>
          </w:p>
        </w:tc>
      </w:tr>
      <w:tr w:rsidR="0048452A" w:rsidRPr="0048452A" w14:paraId="21536F62" w14:textId="77777777" w:rsidTr="003C1F3F">
        <w:trPr>
          <w:trHeight w:val="90"/>
        </w:trPr>
        <w:tc>
          <w:tcPr>
            <w:tcW w:w="1129" w:type="dxa"/>
            <w:vMerge/>
            <w:vAlign w:val="center"/>
          </w:tcPr>
          <w:p w14:paraId="3C5D45E7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4F8CE1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4:00-17:00</w:t>
            </w:r>
          </w:p>
        </w:tc>
        <w:tc>
          <w:tcPr>
            <w:tcW w:w="1812" w:type="dxa"/>
            <w:vMerge/>
            <w:shd w:val="clear" w:color="auto" w:fill="auto"/>
            <w:noWrap/>
            <w:vAlign w:val="center"/>
          </w:tcPr>
          <w:p w14:paraId="43DC736C" w14:textId="77777777" w:rsidR="003C1F3F" w:rsidRPr="0048452A" w:rsidRDefault="003C1F3F" w:rsidP="003C1F3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5" w:type="dxa"/>
            <w:shd w:val="clear" w:color="auto" w:fill="auto"/>
            <w:noWrap/>
            <w:vAlign w:val="center"/>
          </w:tcPr>
          <w:p w14:paraId="7B44CE59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夏令营营员考核及</w:t>
            </w:r>
          </w:p>
          <w:p w14:paraId="19AD1D8D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推免生第一批次复试</w:t>
            </w:r>
          </w:p>
        </w:tc>
      </w:tr>
      <w:tr w:rsidR="0048452A" w:rsidRPr="0048452A" w14:paraId="7238C32D" w14:textId="77777777" w:rsidTr="003C1F3F">
        <w:trPr>
          <w:trHeight w:val="90"/>
        </w:trPr>
        <w:tc>
          <w:tcPr>
            <w:tcW w:w="1129" w:type="dxa"/>
            <w:vMerge w:val="restart"/>
            <w:vAlign w:val="center"/>
          </w:tcPr>
          <w:p w14:paraId="18E4CF2E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7月5日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ECE39E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8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: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3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0-1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1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:</w:t>
            </w: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3</w:t>
            </w: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12" w:type="dxa"/>
            <w:vMerge/>
            <w:shd w:val="clear" w:color="auto" w:fill="auto"/>
            <w:noWrap/>
            <w:vAlign w:val="center"/>
          </w:tcPr>
          <w:p w14:paraId="46E4D7F3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5" w:type="dxa"/>
            <w:shd w:val="clear" w:color="auto" w:fill="auto"/>
            <w:noWrap/>
            <w:vAlign w:val="center"/>
          </w:tcPr>
          <w:p w14:paraId="543D5DEB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夏令营营员考核及</w:t>
            </w:r>
          </w:p>
          <w:p w14:paraId="5148D5A4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推免生第一批次复试</w:t>
            </w:r>
          </w:p>
        </w:tc>
      </w:tr>
      <w:tr w:rsidR="0048452A" w:rsidRPr="0048452A" w14:paraId="5F5E2DD6" w14:textId="77777777" w:rsidTr="003C1F3F">
        <w:trPr>
          <w:trHeight w:val="90"/>
        </w:trPr>
        <w:tc>
          <w:tcPr>
            <w:tcW w:w="1129" w:type="dxa"/>
            <w:vMerge/>
          </w:tcPr>
          <w:p w14:paraId="06A483F2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669249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  <w:t>14:00-17:00</w:t>
            </w:r>
          </w:p>
        </w:tc>
        <w:tc>
          <w:tcPr>
            <w:tcW w:w="1812" w:type="dxa"/>
            <w:vMerge/>
            <w:shd w:val="clear" w:color="auto" w:fill="auto"/>
            <w:noWrap/>
            <w:vAlign w:val="center"/>
          </w:tcPr>
          <w:p w14:paraId="2A06DD47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5" w:type="dxa"/>
            <w:shd w:val="clear" w:color="auto" w:fill="auto"/>
            <w:noWrap/>
            <w:vAlign w:val="center"/>
          </w:tcPr>
          <w:p w14:paraId="6463AFDA" w14:textId="77777777" w:rsidR="003C1F3F" w:rsidRPr="0048452A" w:rsidRDefault="003C1F3F" w:rsidP="003C1F3F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48452A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导师推介会</w:t>
            </w:r>
          </w:p>
        </w:tc>
      </w:tr>
    </w:tbl>
    <w:p w14:paraId="3B115D4F" w14:textId="77777777" w:rsidR="003C1F3F" w:rsidRPr="0048452A" w:rsidRDefault="003C1F3F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本次夏令营活动全程拟于线上举行。如根据防疫要求，届时可组织线下活动学院将另行通知（如线下举行活动时间安排不变，营员需至少于7月3日晚到校报到）。</w:t>
      </w:r>
    </w:p>
    <w:p w14:paraId="24356F20" w14:textId="77777777" w:rsidR="00332216" w:rsidRPr="0048452A" w:rsidRDefault="003E23C9" w:rsidP="003C1F3F">
      <w:pPr>
        <w:spacing w:line="360" w:lineRule="auto"/>
        <w:rPr>
          <w:rFonts w:ascii="仿宋_GB2312" w:eastAsia="仿宋_GB2312" w:hAnsi="仿宋_GB2312"/>
          <w:b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b/>
          <w:sz w:val="24"/>
          <w:szCs w:val="24"/>
          <w:shd w:val="clear" w:color="auto" w:fill="FFFFFF"/>
        </w:rPr>
        <w:t>四、</w:t>
      </w:r>
      <w:r w:rsidR="00332216" w:rsidRPr="0048452A">
        <w:rPr>
          <w:rFonts w:ascii="仿宋_GB2312" w:eastAsia="仿宋_GB2312" w:hAnsi="仿宋_GB2312"/>
          <w:b/>
          <w:sz w:val="24"/>
          <w:szCs w:val="24"/>
          <w:shd w:val="clear" w:color="auto" w:fill="FFFFFF"/>
        </w:rPr>
        <w:t>优惠政策</w:t>
      </w:r>
    </w:p>
    <w:p w14:paraId="30F4E6C8" w14:textId="77777777" w:rsidR="006F60D6" w:rsidRPr="0048452A" w:rsidRDefault="003E23C9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（一）</w:t>
      </w:r>
      <w:r w:rsidR="006F60D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食宿路费</w:t>
      </w:r>
      <w:r w:rsidR="003C1F3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（如线下参加活动）</w:t>
      </w:r>
    </w:p>
    <w:p w14:paraId="3E465D6C" w14:textId="77777777" w:rsidR="00332216" w:rsidRPr="0048452A" w:rsidRDefault="00332216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所有学员在暑期学校期间的食宿均由我校统一安排，往返交通费由学员承担。如果被我校录取为研究生，研究生入学报到后报销暑期夏令营期间往返硬座火车票。</w:t>
      </w:r>
    </w:p>
    <w:p w14:paraId="2C7ADF1D" w14:textId="77777777" w:rsidR="006F60D6" w:rsidRPr="0048452A" w:rsidRDefault="003E23C9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（二）</w:t>
      </w:r>
      <w:r w:rsidR="006F60D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录取政策</w:t>
      </w:r>
    </w:p>
    <w:p w14:paraId="00CE1E13" w14:textId="77777777" w:rsidR="003C1F3F" w:rsidRPr="0048452A" w:rsidRDefault="00332216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获得</w:t>
      </w:r>
      <w:r w:rsidR="003E23C9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优秀营员证书的学员</w:t>
      </w: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，将根据以下原则录取为我院研究生：</w:t>
      </w:r>
    </w:p>
    <w:p w14:paraId="7E647DC4" w14:textId="77777777" w:rsidR="003C1F3F" w:rsidRPr="0048452A" w:rsidRDefault="00137C2D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1.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若学员取得本科所在院校20</w:t>
      </w:r>
      <w:r w:rsidR="00356FAD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2</w:t>
      </w:r>
      <w:r w:rsidR="00356FAD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1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年推荐免试生资格，在国家推免网报系统开通后</w:t>
      </w:r>
      <w:r w:rsidR="003E23C9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第一志愿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填报我院，经我院审核导师认可后</w:t>
      </w:r>
      <w:r w:rsidR="00AD38FF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可直接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录取为推荐免试研究生。</w:t>
      </w:r>
    </w:p>
    <w:p w14:paraId="7039B140" w14:textId="1C3FD915" w:rsidR="00332216" w:rsidRPr="0048452A" w:rsidRDefault="00137C2D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2.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若学员没有取得推荐免试生资格，参加20</w:t>
      </w:r>
      <w:r w:rsidR="00356FAD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2</w:t>
      </w:r>
      <w:r w:rsidR="00356FAD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1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年全国硕士研究生统考，第一志愿报考我院，初试成绩达到</w:t>
      </w:r>
      <w:r w:rsidR="00C60D8E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一志愿报考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专业</w:t>
      </w:r>
      <w:r w:rsidR="00C60D8E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我院的复试</w:t>
      </w:r>
      <w:r w:rsidR="00332216"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分数线，</w:t>
      </w:r>
      <w:r w:rsidR="006F60D6"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同等条件下优先录取，并优先向优秀导师推荐，申报我校各类研究生项目时优先。</w:t>
      </w:r>
    </w:p>
    <w:p w14:paraId="7051E2F3" w14:textId="77777777" w:rsidR="006F60D6" w:rsidRPr="0048452A" w:rsidRDefault="006F60D6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lastRenderedPageBreak/>
        <w:t>（三）推免生奖助金待遇</w:t>
      </w:r>
    </w:p>
    <w:p w14:paraId="107C8A7A" w14:textId="77777777" w:rsidR="006F60D6" w:rsidRPr="0048452A" w:rsidRDefault="006F60D6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我校录取的硕士推免生，第一学年享受硕士一等奖助学金。对于来自“双一流”建设高校的硕士推免生，其专业排名在前</w:t>
      </w: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10%的，第一学年同时享受硕士国家奖学金待遇。我校录取的直博生，第一学年享受博士一等奖助学金。对于来自“双一流”建设高校的直博生，专业排名在前10%的，第一学年同时享受硕士国家奖学金待遇，特别优秀者可申请参评博士国家奖学金（硕士国家奖学金待遇与博士国家奖学金不可兼得）。</w:t>
      </w:r>
    </w:p>
    <w:p w14:paraId="14D92A16" w14:textId="77777777" w:rsidR="006F60D6" w:rsidRPr="0048452A" w:rsidRDefault="006F60D6" w:rsidP="003C1F3F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（四）统考生奖助金待遇</w:t>
      </w:r>
    </w:p>
    <w:p w14:paraId="6A305792" w14:textId="77777777" w:rsidR="006F60D6" w:rsidRPr="0048452A" w:rsidRDefault="006F60D6" w:rsidP="003C1F3F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对于我校录取的本科学校为“双一流”高校统考生，初试成绩（英语和业务课一）在我校本学科录取考试中排名在前</w:t>
      </w:r>
      <w:r w:rsidRPr="0048452A">
        <w:rPr>
          <w:rFonts w:ascii="仿宋_GB2312" w:eastAsia="仿宋_GB2312" w:hAnsi="仿宋_GB2312"/>
          <w:sz w:val="24"/>
          <w:szCs w:val="24"/>
          <w:shd w:val="clear" w:color="auto" w:fill="FFFFFF"/>
        </w:rPr>
        <w:t>10%，第一学年享受一等奖助金。</w:t>
      </w:r>
    </w:p>
    <w:p w14:paraId="5B9C641D" w14:textId="77777777" w:rsidR="00332216" w:rsidRPr="0048452A" w:rsidRDefault="006F60D6" w:rsidP="003C1F3F">
      <w:pPr>
        <w:spacing w:line="360" w:lineRule="auto"/>
        <w:rPr>
          <w:rFonts w:ascii="仿宋_GB2312" w:eastAsia="仿宋_GB2312" w:hAnsi="仿宋_GB2312"/>
          <w:b/>
          <w:sz w:val="24"/>
          <w:szCs w:val="24"/>
          <w:shd w:val="clear" w:color="auto" w:fill="FFFFFF"/>
        </w:rPr>
      </w:pPr>
      <w:r w:rsidRPr="0048452A">
        <w:rPr>
          <w:rFonts w:ascii="仿宋_GB2312" w:eastAsia="仿宋_GB2312" w:hAnsi="仿宋_GB2312" w:hint="eastAsia"/>
          <w:b/>
          <w:sz w:val="24"/>
          <w:szCs w:val="24"/>
          <w:shd w:val="clear" w:color="auto" w:fill="FFFFFF"/>
        </w:rPr>
        <w:t>五、</w:t>
      </w:r>
      <w:r w:rsidR="00332216" w:rsidRPr="0048452A">
        <w:rPr>
          <w:rFonts w:ascii="仿宋_GB2312" w:eastAsia="仿宋_GB2312" w:hAnsi="仿宋_GB2312"/>
          <w:b/>
          <w:sz w:val="24"/>
          <w:szCs w:val="24"/>
          <w:shd w:val="clear" w:color="auto" w:fill="FFFFFF"/>
        </w:rPr>
        <w:t>联系方式</w:t>
      </w:r>
    </w:p>
    <w:p w14:paraId="4E5857B8" w14:textId="77777777" w:rsidR="00516F9D" w:rsidRPr="003C1F3F" w:rsidRDefault="00516F9D" w:rsidP="00516F9D">
      <w:pPr>
        <w:spacing w:line="360" w:lineRule="auto"/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</w:pPr>
      <w:r w:rsidRPr="003C1F3F">
        <w:rPr>
          <w:rFonts w:ascii="仿宋_GB2312" w:eastAsia="仿宋_GB2312" w:hAnsi="仿宋_GB2312" w:hint="eastAsia"/>
          <w:color w:val="333333"/>
          <w:sz w:val="24"/>
          <w:szCs w:val="24"/>
          <w:shd w:val="clear" w:color="auto" w:fill="FFFFFF"/>
        </w:rPr>
        <w:t>联系人：李老师</w:t>
      </w:r>
      <w:r w:rsidRPr="003C1F3F"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  <w:t xml:space="preserve"> </w:t>
      </w:r>
      <w:r w:rsidRPr="003C1F3F">
        <w:rPr>
          <w:rFonts w:ascii="仿宋_GB2312" w:eastAsia="仿宋_GB2312" w:hAnsi="仿宋_GB2312" w:hint="eastAsia"/>
          <w:color w:val="333333"/>
          <w:sz w:val="24"/>
          <w:szCs w:val="24"/>
          <w:shd w:val="clear" w:color="auto" w:fill="FFFFFF"/>
        </w:rPr>
        <w:t>王</w:t>
      </w:r>
      <w:r w:rsidRPr="003C1F3F"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  <w:t xml:space="preserve">老师   </w:t>
      </w:r>
    </w:p>
    <w:p w14:paraId="2E2A0F8D" w14:textId="77777777" w:rsidR="00516F9D" w:rsidRPr="003C1F3F" w:rsidRDefault="00516F9D" w:rsidP="00516F9D">
      <w:pPr>
        <w:spacing w:line="360" w:lineRule="auto"/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</w:pPr>
      <w:r w:rsidRPr="003C1F3F">
        <w:rPr>
          <w:rFonts w:ascii="仿宋_GB2312" w:eastAsia="仿宋_GB2312" w:hAnsi="仿宋_GB2312" w:hint="eastAsia"/>
          <w:color w:val="333333"/>
          <w:sz w:val="24"/>
          <w:szCs w:val="24"/>
          <w:shd w:val="clear" w:color="auto" w:fill="FFFFFF"/>
        </w:rPr>
        <w:t>联系电话：</w:t>
      </w:r>
      <w:r w:rsidRPr="003C1F3F"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  <w:t>029-88431654</w:t>
      </w:r>
    </w:p>
    <w:p w14:paraId="1EA368AB" w14:textId="77777777" w:rsidR="00516F9D" w:rsidRPr="003C1F3F" w:rsidRDefault="00516F9D" w:rsidP="00516F9D">
      <w:pPr>
        <w:spacing w:line="360" w:lineRule="auto"/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</w:pPr>
      <w:r w:rsidRPr="003C1F3F">
        <w:rPr>
          <w:rFonts w:ascii="仿宋_GB2312" w:eastAsia="仿宋_GB2312" w:hAnsi="仿宋_GB2312" w:hint="eastAsia"/>
          <w:color w:val="333333"/>
          <w:sz w:val="24"/>
          <w:szCs w:val="24"/>
          <w:shd w:val="clear" w:color="auto" w:fill="FFFFFF"/>
        </w:rPr>
        <w:t>学院网址：</w:t>
      </w:r>
      <w:hyperlink r:id="rId7" w:history="1">
        <w:r w:rsidRPr="003C1F3F">
          <w:rPr>
            <w:rFonts w:ascii="仿宋_GB2312" w:eastAsia="仿宋_GB2312" w:hAnsi="仿宋_GB2312"/>
            <w:color w:val="333333"/>
            <w:sz w:val="24"/>
            <w:szCs w:val="24"/>
            <w:shd w:val="clear" w:color="auto" w:fill="FFFFFF"/>
          </w:rPr>
          <w:t>http://math.nwpu.edu.cn/</w:t>
        </w:r>
      </w:hyperlink>
      <w:r w:rsidRPr="003C1F3F">
        <w:rPr>
          <w:rFonts w:ascii="仿宋_GB2312" w:eastAsia="仿宋_GB2312" w:hAnsi="仿宋_GB2312" w:hint="eastAsia"/>
          <w:color w:val="333333"/>
          <w:sz w:val="24"/>
          <w:szCs w:val="24"/>
          <w:shd w:val="clear" w:color="auto" w:fill="FFFFFF"/>
        </w:rPr>
        <w:t xml:space="preserve"> </w:t>
      </w:r>
    </w:p>
    <w:p w14:paraId="7DF336CB" w14:textId="77777777" w:rsidR="00516F9D" w:rsidRPr="003C1F3F" w:rsidRDefault="00516F9D" w:rsidP="00516F9D">
      <w:pPr>
        <w:spacing w:line="360" w:lineRule="auto"/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</w:pPr>
      <w:r w:rsidRPr="003C1F3F"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  <w:t>研究生招生网：</w:t>
      </w:r>
      <w:hyperlink r:id="rId8" w:history="1">
        <w:r w:rsidRPr="003C1F3F">
          <w:rPr>
            <w:rFonts w:ascii="仿宋_GB2312" w:eastAsia="仿宋_GB2312" w:hAnsi="仿宋_GB2312"/>
            <w:color w:val="333333"/>
            <w:sz w:val="24"/>
            <w:szCs w:val="24"/>
            <w:shd w:val="clear" w:color="auto" w:fill="FFFFFF"/>
          </w:rPr>
          <w:t>http://yzb.nwpu.edu.cn/</w:t>
        </w:r>
      </w:hyperlink>
      <w:r w:rsidRPr="003C1F3F">
        <w:rPr>
          <w:rFonts w:ascii="仿宋_GB2312" w:eastAsia="仿宋_GB2312" w:hAnsi="仿宋_GB2312" w:hint="eastAsia"/>
          <w:color w:val="333333"/>
          <w:sz w:val="24"/>
          <w:szCs w:val="24"/>
          <w:shd w:val="clear" w:color="auto" w:fill="FFFFFF"/>
        </w:rPr>
        <w:t xml:space="preserve"> </w:t>
      </w:r>
    </w:p>
    <w:p w14:paraId="7689FF4E" w14:textId="77777777" w:rsidR="00516F9D" w:rsidRDefault="00516F9D" w:rsidP="00516F9D">
      <w:pPr>
        <w:spacing w:line="360" w:lineRule="auto"/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</w:pPr>
      <w:r w:rsidRPr="003C1F3F">
        <w:rPr>
          <w:rFonts w:ascii="仿宋_GB2312" w:eastAsia="仿宋_GB2312" w:hAnsi="仿宋_GB2312" w:hint="eastAsia"/>
          <w:color w:val="333333"/>
          <w:sz w:val="24"/>
          <w:szCs w:val="24"/>
          <w:shd w:val="clear" w:color="auto" w:fill="FFFFFF"/>
        </w:rPr>
        <w:t>导师信息查询：数学与统计学院网站</w:t>
      </w:r>
      <w:r w:rsidRPr="003C1F3F"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  <w:t>-师资队伍</w:t>
      </w:r>
    </w:p>
    <w:p w14:paraId="27145364" w14:textId="77777777" w:rsidR="00516F9D" w:rsidRPr="003C1F3F" w:rsidRDefault="00516F9D" w:rsidP="00516F9D">
      <w:pPr>
        <w:spacing w:line="360" w:lineRule="auto"/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</w:pPr>
      <w:r w:rsidRPr="003C1F3F">
        <w:rPr>
          <w:rFonts w:ascii="仿宋_GB2312" w:eastAsia="仿宋_GB2312" w:hAnsi="仿宋_GB2312"/>
          <w:sz w:val="24"/>
          <w:szCs w:val="24"/>
        </w:rPr>
        <w:t>http://math.nwpu.edu.cn/szdw/jsdw2/sxkx.htm</w:t>
      </w:r>
      <w:r w:rsidRPr="003C1F3F">
        <w:rPr>
          <w:rFonts w:ascii="仿宋_GB2312" w:eastAsia="仿宋_GB2312" w:hAnsi="仿宋_GB2312" w:hint="eastAsia"/>
          <w:sz w:val="24"/>
          <w:szCs w:val="24"/>
        </w:rPr>
        <w:t xml:space="preserve"> </w:t>
      </w:r>
    </w:p>
    <w:p w14:paraId="51CFE723" w14:textId="77777777" w:rsidR="00516F9D" w:rsidRPr="003C1F3F" w:rsidRDefault="00516F9D" w:rsidP="00516F9D">
      <w:pPr>
        <w:spacing w:line="360" w:lineRule="auto"/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</w:pPr>
      <w:r w:rsidRPr="003C1F3F"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  <w:t>咨询QQ群</w:t>
      </w:r>
      <w:r w:rsidRPr="003C1F3F">
        <w:rPr>
          <w:rFonts w:ascii="仿宋_GB2312" w:eastAsia="仿宋_GB2312" w:hAnsi="仿宋_GB2312" w:hint="eastAsia"/>
          <w:color w:val="333333"/>
          <w:sz w:val="24"/>
          <w:szCs w:val="24"/>
          <w:shd w:val="clear" w:color="auto" w:fill="FFFFFF"/>
        </w:rPr>
        <w:t>：</w:t>
      </w:r>
      <w:r w:rsidRPr="00704F89">
        <w:rPr>
          <w:rFonts w:ascii="仿宋_GB2312" w:eastAsia="仿宋_GB2312" w:hAnsi="仿宋_GB2312" w:hint="eastAsia"/>
          <w:sz w:val="24"/>
          <w:szCs w:val="24"/>
          <w:shd w:val="clear" w:color="auto" w:fill="FFFFFF"/>
        </w:rPr>
        <w:t>941765025</w:t>
      </w:r>
      <w:r w:rsidRPr="003C1F3F"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  <w:t>（意愿报考我院202</w:t>
      </w:r>
      <w:r w:rsidRPr="003C1F3F">
        <w:rPr>
          <w:rFonts w:ascii="仿宋_GB2312" w:eastAsia="仿宋_GB2312" w:hAnsi="仿宋_GB2312" w:hint="eastAsia"/>
          <w:color w:val="333333"/>
          <w:sz w:val="24"/>
          <w:szCs w:val="24"/>
          <w:shd w:val="clear" w:color="auto" w:fill="FFFFFF"/>
        </w:rPr>
        <w:t>1</w:t>
      </w:r>
      <w:r w:rsidRPr="003C1F3F">
        <w:rPr>
          <w:rFonts w:ascii="仿宋_GB2312" w:eastAsia="仿宋_GB2312" w:hAnsi="仿宋_GB2312"/>
          <w:color w:val="333333"/>
          <w:sz w:val="24"/>
          <w:szCs w:val="24"/>
          <w:shd w:val="clear" w:color="auto" w:fill="FFFFFF"/>
        </w:rPr>
        <w:t>年研究生请加群及时跟进通知）</w:t>
      </w:r>
    </w:p>
    <w:p w14:paraId="43B6AC59" w14:textId="3DBB1D1B" w:rsidR="00CF09CA" w:rsidRPr="00516F9D" w:rsidRDefault="00CF09CA" w:rsidP="00516F9D">
      <w:pPr>
        <w:spacing w:line="360" w:lineRule="auto"/>
        <w:rPr>
          <w:rFonts w:ascii="仿宋_GB2312" w:eastAsia="仿宋_GB2312" w:hAnsi="仿宋_GB2312"/>
          <w:sz w:val="24"/>
          <w:szCs w:val="24"/>
          <w:shd w:val="clear" w:color="auto" w:fill="FFFFFF"/>
        </w:rPr>
      </w:pPr>
    </w:p>
    <w:sectPr w:rsidR="00CF09CA" w:rsidRPr="00516F9D" w:rsidSect="00844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D4A61" w14:textId="77777777" w:rsidR="009F1DB8" w:rsidRDefault="009F1DB8" w:rsidP="00964872">
      <w:r>
        <w:separator/>
      </w:r>
    </w:p>
  </w:endnote>
  <w:endnote w:type="continuationSeparator" w:id="0">
    <w:p w14:paraId="4A87D374" w14:textId="77777777" w:rsidR="009F1DB8" w:rsidRDefault="009F1DB8" w:rsidP="0096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AA6E7" w14:textId="77777777" w:rsidR="009F1DB8" w:rsidRDefault="009F1DB8" w:rsidP="00964872">
      <w:r>
        <w:separator/>
      </w:r>
    </w:p>
  </w:footnote>
  <w:footnote w:type="continuationSeparator" w:id="0">
    <w:p w14:paraId="45F3084A" w14:textId="77777777" w:rsidR="009F1DB8" w:rsidRDefault="009F1DB8" w:rsidP="0096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16"/>
    <w:rsid w:val="00010391"/>
    <w:rsid w:val="00075455"/>
    <w:rsid w:val="001144E1"/>
    <w:rsid w:val="00137C2D"/>
    <w:rsid w:val="00171BB8"/>
    <w:rsid w:val="00202C99"/>
    <w:rsid w:val="00235331"/>
    <w:rsid w:val="002C3858"/>
    <w:rsid w:val="00332216"/>
    <w:rsid w:val="00356FAD"/>
    <w:rsid w:val="003C1F3F"/>
    <w:rsid w:val="003E23C9"/>
    <w:rsid w:val="0048452A"/>
    <w:rsid w:val="004B7D7D"/>
    <w:rsid w:val="00516F9D"/>
    <w:rsid w:val="005503BC"/>
    <w:rsid w:val="005553BE"/>
    <w:rsid w:val="00575B36"/>
    <w:rsid w:val="005F3075"/>
    <w:rsid w:val="00613545"/>
    <w:rsid w:val="006F60D6"/>
    <w:rsid w:val="00704F89"/>
    <w:rsid w:val="00744041"/>
    <w:rsid w:val="00782A06"/>
    <w:rsid w:val="00797CBF"/>
    <w:rsid w:val="00842F0E"/>
    <w:rsid w:val="00844027"/>
    <w:rsid w:val="0086302A"/>
    <w:rsid w:val="008E797C"/>
    <w:rsid w:val="0095293C"/>
    <w:rsid w:val="00954E9C"/>
    <w:rsid w:val="00964872"/>
    <w:rsid w:val="00964E49"/>
    <w:rsid w:val="00993F6E"/>
    <w:rsid w:val="009A44D6"/>
    <w:rsid w:val="009F1DB8"/>
    <w:rsid w:val="00A9723B"/>
    <w:rsid w:val="00AD38FF"/>
    <w:rsid w:val="00AD4927"/>
    <w:rsid w:val="00AF2E39"/>
    <w:rsid w:val="00B34B2B"/>
    <w:rsid w:val="00B415CF"/>
    <w:rsid w:val="00B66A7A"/>
    <w:rsid w:val="00B74ABE"/>
    <w:rsid w:val="00C42BAD"/>
    <w:rsid w:val="00C60D8E"/>
    <w:rsid w:val="00C95D0E"/>
    <w:rsid w:val="00CF09CA"/>
    <w:rsid w:val="00D40892"/>
    <w:rsid w:val="00D42817"/>
    <w:rsid w:val="00D953C4"/>
    <w:rsid w:val="00E36197"/>
    <w:rsid w:val="00E85747"/>
    <w:rsid w:val="00EF63EF"/>
    <w:rsid w:val="00EF64E1"/>
    <w:rsid w:val="00F9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6CECC"/>
  <w15:docId w15:val="{97E843B2-4194-134C-9FC0-FE788344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B2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4B2B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64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64872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964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964872"/>
    <w:rPr>
      <w:sz w:val="18"/>
      <w:szCs w:val="18"/>
    </w:rPr>
  </w:style>
  <w:style w:type="paragraph" w:styleId="a9">
    <w:name w:val="List Paragraph"/>
    <w:basedOn w:val="a"/>
    <w:uiPriority w:val="34"/>
    <w:qFormat/>
    <w:rsid w:val="00C95D0E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993F6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144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114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b.nwpu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th.nwp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jsjy.nwpu.edu.cn/zsbm/xlyg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shuwen li</dc:creator>
  <cp:keywords/>
  <dc:description/>
  <cp:lastModifiedBy>shuwen li</cp:lastModifiedBy>
  <cp:revision>4</cp:revision>
  <cp:lastPrinted>2019-06-06T02:26:00Z</cp:lastPrinted>
  <dcterms:created xsi:type="dcterms:W3CDTF">2020-06-12T02:47:00Z</dcterms:created>
  <dcterms:modified xsi:type="dcterms:W3CDTF">2020-06-12T03:34:00Z</dcterms:modified>
</cp:coreProperties>
</file>